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47D84AB">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14:paraId="05E8D914">
      <w:pPr>
        <w:spacing w:line="540" w:lineRule="exact"/>
        <w:jc w:val="center"/>
        <w:rPr>
          <w:rFonts w:ascii="华文中宋" w:hAnsi="华文中宋" w:eastAsia="华文中宋" w:cs="宋体"/>
          <w:b/>
          <w:kern w:val="0"/>
          <w:sz w:val="52"/>
          <w:szCs w:val="52"/>
        </w:rPr>
      </w:pPr>
    </w:p>
    <w:p w14:paraId="3F26CB2C">
      <w:pPr>
        <w:spacing w:line="540" w:lineRule="exact"/>
        <w:jc w:val="center"/>
        <w:rPr>
          <w:rFonts w:ascii="华文中宋" w:hAnsi="华文中宋" w:eastAsia="华文中宋" w:cs="宋体"/>
          <w:b/>
          <w:kern w:val="0"/>
          <w:sz w:val="52"/>
          <w:szCs w:val="52"/>
        </w:rPr>
      </w:pPr>
    </w:p>
    <w:p w14:paraId="7DCEFC0C">
      <w:pPr>
        <w:spacing w:line="540" w:lineRule="exact"/>
        <w:jc w:val="center"/>
        <w:rPr>
          <w:rFonts w:ascii="华文中宋" w:hAnsi="华文中宋" w:eastAsia="华文中宋" w:cs="宋体"/>
          <w:b/>
          <w:kern w:val="0"/>
          <w:sz w:val="52"/>
          <w:szCs w:val="52"/>
        </w:rPr>
      </w:pPr>
    </w:p>
    <w:p w14:paraId="7E8031D5">
      <w:pPr>
        <w:spacing w:line="540" w:lineRule="exact"/>
        <w:jc w:val="center"/>
        <w:rPr>
          <w:rFonts w:ascii="华文中宋" w:hAnsi="华文中宋" w:eastAsia="华文中宋" w:cs="宋体"/>
          <w:b/>
          <w:kern w:val="0"/>
          <w:sz w:val="52"/>
          <w:szCs w:val="52"/>
        </w:rPr>
      </w:pPr>
    </w:p>
    <w:p w14:paraId="070677E2">
      <w:pPr>
        <w:spacing w:line="540" w:lineRule="exact"/>
        <w:jc w:val="center"/>
        <w:rPr>
          <w:rFonts w:ascii="华文中宋" w:hAnsi="华文中宋" w:eastAsia="华文中宋" w:cs="宋体"/>
          <w:b/>
          <w:kern w:val="0"/>
          <w:sz w:val="52"/>
          <w:szCs w:val="52"/>
        </w:rPr>
      </w:pPr>
    </w:p>
    <w:p w14:paraId="6E7A42B9">
      <w:pPr>
        <w:spacing w:line="540" w:lineRule="exact"/>
        <w:jc w:val="center"/>
        <w:rPr>
          <w:rFonts w:ascii="华文中宋" w:hAnsi="华文中宋" w:eastAsia="华文中宋" w:cs="宋体"/>
          <w:b/>
          <w:kern w:val="0"/>
          <w:sz w:val="52"/>
          <w:szCs w:val="52"/>
        </w:rPr>
      </w:pPr>
    </w:p>
    <w:p w14:paraId="58C54D7F">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w:t>
      </w:r>
      <w:bookmarkStart w:id="0" w:name="_GoBack"/>
      <w:bookmarkEnd w:id="0"/>
      <w:r>
        <w:rPr>
          <w:rFonts w:hint="eastAsia" w:ascii="方正小标宋_GBK" w:hAnsi="华文中宋" w:eastAsia="方正小标宋_GBK" w:cs="宋体"/>
          <w:b/>
          <w:kern w:val="0"/>
          <w:sz w:val="48"/>
          <w:szCs w:val="48"/>
        </w:rPr>
        <w:t>绩效自评报告</w:t>
      </w:r>
    </w:p>
    <w:p w14:paraId="1BFFD939">
      <w:pPr>
        <w:spacing w:line="540" w:lineRule="exact"/>
        <w:jc w:val="center"/>
        <w:rPr>
          <w:rFonts w:ascii="华文中宋" w:hAnsi="华文中宋" w:eastAsia="华文中宋" w:cs="宋体"/>
          <w:b/>
          <w:kern w:val="0"/>
          <w:sz w:val="52"/>
          <w:szCs w:val="52"/>
        </w:rPr>
      </w:pPr>
    </w:p>
    <w:p w14:paraId="0C42BFBE">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2023</w:t>
      </w:r>
      <w:r>
        <w:rPr>
          <w:rFonts w:hint="eastAsia" w:hAnsi="宋体" w:eastAsia="仿宋_GB2312" w:cs="宋体"/>
          <w:kern w:val="0"/>
          <w:sz w:val="36"/>
          <w:szCs w:val="36"/>
        </w:rPr>
        <w:t xml:space="preserve">  年度）</w:t>
      </w:r>
    </w:p>
    <w:p w14:paraId="6B097005">
      <w:pPr>
        <w:spacing w:line="540" w:lineRule="exact"/>
        <w:jc w:val="center"/>
        <w:rPr>
          <w:rFonts w:hAnsi="宋体" w:eastAsia="仿宋_GB2312" w:cs="宋体"/>
          <w:kern w:val="0"/>
          <w:sz w:val="30"/>
          <w:szCs w:val="30"/>
        </w:rPr>
      </w:pPr>
    </w:p>
    <w:p w14:paraId="4DE73E9A">
      <w:pPr>
        <w:spacing w:line="540" w:lineRule="exact"/>
        <w:jc w:val="center"/>
        <w:rPr>
          <w:rFonts w:hAnsi="宋体" w:eastAsia="仿宋_GB2312" w:cs="宋体"/>
          <w:kern w:val="0"/>
          <w:sz w:val="30"/>
          <w:szCs w:val="30"/>
        </w:rPr>
      </w:pPr>
    </w:p>
    <w:p w14:paraId="6AA856F0">
      <w:pPr>
        <w:spacing w:line="540" w:lineRule="exact"/>
        <w:jc w:val="center"/>
        <w:rPr>
          <w:rFonts w:hAnsi="宋体" w:eastAsia="仿宋_GB2312" w:cs="宋体"/>
          <w:kern w:val="0"/>
          <w:sz w:val="30"/>
          <w:szCs w:val="30"/>
        </w:rPr>
      </w:pPr>
    </w:p>
    <w:p w14:paraId="38E87042">
      <w:pPr>
        <w:spacing w:line="540" w:lineRule="exact"/>
        <w:jc w:val="center"/>
        <w:rPr>
          <w:rFonts w:hAnsi="宋体" w:eastAsia="仿宋_GB2312" w:cs="宋体"/>
          <w:kern w:val="0"/>
          <w:sz w:val="30"/>
          <w:szCs w:val="30"/>
        </w:rPr>
      </w:pPr>
    </w:p>
    <w:p w14:paraId="27E352F1">
      <w:pPr>
        <w:spacing w:line="540" w:lineRule="exact"/>
        <w:jc w:val="center"/>
        <w:rPr>
          <w:rFonts w:hAnsi="宋体" w:eastAsia="仿宋_GB2312" w:cs="宋体"/>
          <w:kern w:val="0"/>
          <w:sz w:val="30"/>
          <w:szCs w:val="30"/>
        </w:rPr>
      </w:pPr>
    </w:p>
    <w:p w14:paraId="3AEE48C6">
      <w:pPr>
        <w:spacing w:line="540" w:lineRule="exact"/>
        <w:jc w:val="center"/>
        <w:rPr>
          <w:rFonts w:hAnsi="宋体" w:eastAsia="仿宋_GB2312" w:cs="宋体"/>
          <w:kern w:val="0"/>
          <w:sz w:val="30"/>
          <w:szCs w:val="30"/>
        </w:rPr>
      </w:pPr>
    </w:p>
    <w:p w14:paraId="5B725AF2">
      <w:pPr>
        <w:spacing w:line="540" w:lineRule="exact"/>
        <w:rPr>
          <w:rFonts w:hAnsi="宋体" w:eastAsia="仿宋_GB2312" w:cs="宋体"/>
          <w:kern w:val="0"/>
          <w:sz w:val="30"/>
          <w:szCs w:val="30"/>
        </w:rPr>
      </w:pPr>
    </w:p>
    <w:p w14:paraId="207180CF">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7B0E908E">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昌州财社[2022]46号关于提前下达2023年基本公共卫生服务中央财政补助资金预算的通知</w:t>
      </w:r>
    </w:p>
    <w:p w14:paraId="18C4B226">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老台乡卫生院</w:t>
      </w:r>
    </w:p>
    <w:p w14:paraId="2A6FC513">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老台乡卫生院</w:t>
      </w:r>
    </w:p>
    <w:p w14:paraId="6EC5BD31">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张香</w:t>
      </w:r>
    </w:p>
    <w:p w14:paraId="6DFBEBD6">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2024年03月16日</w:t>
      </w:r>
    </w:p>
    <w:p w14:paraId="5F08D677">
      <w:pPr>
        <w:spacing w:line="700" w:lineRule="exact"/>
        <w:ind w:firstLine="708" w:firstLineChars="236"/>
        <w:jc w:val="left"/>
        <w:rPr>
          <w:rFonts w:hAnsi="宋体" w:eastAsia="仿宋_GB2312" w:cs="宋体"/>
          <w:kern w:val="0"/>
          <w:sz w:val="30"/>
          <w:szCs w:val="30"/>
        </w:rPr>
      </w:pPr>
    </w:p>
    <w:p w14:paraId="2F516013">
      <w:pPr>
        <w:spacing w:line="540" w:lineRule="exact"/>
        <w:rPr>
          <w:rStyle w:val="18"/>
          <w:rFonts w:ascii="黑体" w:hAnsi="黑体" w:eastAsia="黑体"/>
          <w:b w:val="0"/>
          <w:spacing w:val="-4"/>
          <w:sz w:val="32"/>
          <w:szCs w:val="32"/>
        </w:rPr>
      </w:pPr>
    </w:p>
    <w:p w14:paraId="55D014D2">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14:paraId="32760D78">
      <w:pPr>
        <w:spacing w:line="540" w:lineRule="exact"/>
        <w:ind w:firstLine="567"/>
        <w:rPr>
          <w:rStyle w:val="18"/>
          <w:rFonts w:hint="default" w:ascii="楷体" w:hAnsi="楷体" w:eastAsia="楷体"/>
          <w:spacing w:val="-4"/>
          <w:sz w:val="32"/>
          <w:szCs w:val="32"/>
          <w:lang w:val="en-US" w:eastAsia="zh-CN"/>
        </w:rPr>
      </w:pPr>
      <w:r>
        <w:rPr>
          <w:rStyle w:val="18"/>
          <w:rFonts w:hint="eastAsia" w:ascii="楷体" w:hAnsi="楷体" w:eastAsia="楷体"/>
          <w:spacing w:val="-4"/>
          <w:sz w:val="32"/>
          <w:szCs w:val="32"/>
        </w:rPr>
        <w:t>（一）项目概况</w:t>
      </w:r>
      <w:r>
        <w:rPr>
          <w:rStyle w:val="18"/>
          <w:rFonts w:hint="eastAsia" w:ascii="楷体" w:hAnsi="楷体" w:eastAsia="楷体"/>
          <w:spacing w:val="-4"/>
          <w:sz w:val="32"/>
          <w:szCs w:val="32"/>
          <w:lang w:eastAsia="zh-CN"/>
        </w:rPr>
        <w:t>。</w:t>
      </w:r>
    </w:p>
    <w:p w14:paraId="55C84541">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1.项目背景</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国家基本公共卫生服务项目，是促进基本公共卫生服务逐步均等化的重要内容，是深化医药卫生体制改革的重要工作。是我国政府针对当前城乡居民存在的主要健康问题，以儿童、孕产妇、老年人、慢性疾病患者为重点人群，面向全体居民免费提供的最基本的公共卫生服务。基本公共卫生服务主要由乡镇卫生院、村卫生室、社区卫生服务中心（站）负责具体实施。村卫生室、社区卫生服务站分别接受乡镇卫生院和社区卫生服务中心的业务管理，合理承担基本公共卫生服务任务。其他基层医疗卫生机构也可以按照政府部门的部署来提供相应的服务。</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目前，国家基本公共卫生服务项目有14项内容。即：城乡居民健康档案管理、健康教育、预防接种、0～6岁儿童健康管理、孕产妇健康管理、老年人健康管理、慢性病患者健康管理（高血压、糖尿病）、严重精神障碍患者管理、结核病患者健康管理、传染病及突发公共卫生事件报告和处理服务、中医药健康管理、卫生计生监督协管服务、免费提供避孕药具、健康素养促进行动。</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2.主要内容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（1）项目名称：昌州财社[2022]46号关于提前下达2023年基本公共卫生服务中央财政补助资金预算的通知项目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（2）项目主要内容：免费向城乡居民提供基本公共卫生服务。开展对重点疾病及危害因素监测，有效控制疾病流行，为制定相关科学医学依据。不断缩小城乡居民公共卫生差距。提高基本公共卫生服务水平。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3.实施情况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实施主体：吉木萨尔县老台乡卫生院单位。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实施时间：本项目实施周期为2023年1月-2023年12月。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实施情况：（一）居民健康档案:辖区常住居民数9746人，</w:t>
      </w:r>
      <w:r>
        <w:rPr>
          <w:rStyle w:val="18"/>
          <w:rFonts w:hint="eastAsia" w:ascii="楷体" w:hAnsi="楷体" w:eastAsia="楷体"/>
          <w:b w:val="0"/>
          <w:bCs w:val="0"/>
          <w:spacing w:val="-4"/>
          <w:sz w:val="32"/>
          <w:szCs w:val="32"/>
          <w:lang w:eastAsia="zh-CN"/>
        </w:rPr>
        <w:t>截至目前</w:t>
      </w:r>
      <w:r>
        <w:rPr>
          <w:rStyle w:val="18"/>
          <w:rFonts w:hint="eastAsia" w:ascii="楷体" w:hAnsi="楷体" w:eastAsia="楷体"/>
          <w:b w:val="0"/>
          <w:bCs w:val="0"/>
          <w:spacing w:val="-4"/>
          <w:sz w:val="32"/>
          <w:szCs w:val="32"/>
        </w:rPr>
        <w:t>建档8135人，健康档案建档率83.47%。（二）糖尿病管理：</w:t>
      </w:r>
      <w:r>
        <w:rPr>
          <w:rStyle w:val="18"/>
          <w:rFonts w:hint="eastAsia" w:ascii="楷体" w:hAnsi="楷体" w:eastAsia="楷体"/>
          <w:b w:val="0"/>
          <w:bCs w:val="0"/>
          <w:spacing w:val="-4"/>
          <w:sz w:val="32"/>
          <w:szCs w:val="32"/>
          <w:lang w:eastAsia="zh-CN"/>
        </w:rPr>
        <w:t>截至目前</w:t>
      </w:r>
      <w:r>
        <w:rPr>
          <w:rStyle w:val="18"/>
          <w:rFonts w:hint="eastAsia" w:ascii="楷体" w:hAnsi="楷体" w:eastAsia="楷体"/>
          <w:b w:val="0"/>
          <w:bCs w:val="0"/>
          <w:spacing w:val="-4"/>
          <w:sz w:val="32"/>
          <w:szCs w:val="32"/>
        </w:rPr>
        <w:t>糖尿病建档人数224人；截止年末规范管理200人，管理率为89.29%；（三）高血压管理：</w:t>
      </w:r>
      <w:r>
        <w:rPr>
          <w:rStyle w:val="18"/>
          <w:rFonts w:hint="eastAsia" w:ascii="楷体" w:hAnsi="楷体" w:eastAsia="楷体"/>
          <w:b w:val="0"/>
          <w:bCs w:val="0"/>
          <w:spacing w:val="-4"/>
          <w:sz w:val="32"/>
          <w:szCs w:val="32"/>
          <w:lang w:eastAsia="zh-CN"/>
        </w:rPr>
        <w:t>截至目前</w:t>
      </w:r>
      <w:r>
        <w:rPr>
          <w:rStyle w:val="18"/>
          <w:rFonts w:hint="eastAsia" w:ascii="楷体" w:hAnsi="楷体" w:eastAsia="楷体"/>
          <w:b w:val="0"/>
          <w:bCs w:val="0"/>
          <w:spacing w:val="-4"/>
          <w:sz w:val="32"/>
          <w:szCs w:val="32"/>
        </w:rPr>
        <w:t>高血压建档人数829人，截止第三季度末规范管理48人，管理率为90.23%；（四）孕产妇保健工作开展情况：截至目前孕产妇总数为34人，其中早孕建册32人，建册率为94.11%。（五）0-6岁以下儿童保健开展情况：；7岁以下儿童188人，健康管理183人，管理率97.34%；3岁以下儿童65人，系统管理62人，管理率95.38%。（六）健康教育：2023年共开展大型健康宣教活动 16 次。（七）预防接种服务工作：0-6岁常住儿童在册191人，纸质、电子建卡建档率100%；疫苗运输、管理、发放、退回、报损均严格按照《疫苗管理法》执行。（八）传染病报告和处理服务工作：我院校医每日按时亲临学校指导消杀工作，加强传染病报告管理，传染病漏报率为0，落实各项制度，做好传染病的暴发流行的应急处理措施。（九）老年人健康管理：</w:t>
      </w:r>
      <w:r>
        <w:rPr>
          <w:rStyle w:val="18"/>
          <w:rFonts w:hint="eastAsia" w:ascii="楷体" w:hAnsi="楷体" w:eastAsia="楷体"/>
          <w:b w:val="0"/>
          <w:bCs w:val="0"/>
          <w:spacing w:val="-4"/>
          <w:sz w:val="32"/>
          <w:szCs w:val="32"/>
          <w:lang w:eastAsia="zh-CN"/>
        </w:rPr>
        <w:t>截至目前</w:t>
      </w:r>
      <w:r>
        <w:rPr>
          <w:rStyle w:val="18"/>
          <w:rFonts w:hint="eastAsia" w:ascii="楷体" w:hAnsi="楷体" w:eastAsia="楷体"/>
          <w:b w:val="0"/>
          <w:bCs w:val="0"/>
          <w:spacing w:val="-4"/>
          <w:sz w:val="32"/>
          <w:szCs w:val="32"/>
        </w:rPr>
        <w:t>65岁以上老年人健康管理：全乡登记管理65岁以上老年人936人，规范管理 854人，管理率为91.24%。（十）严重精神障碍患者管理：截至目前每月入户随访12次，评估12次。严重精神障碍患者管理率100%。（十一）中医药健康管理：按规范要求，结合老年人体检工作对辖内854名65岁及以上老年人进行中医体质辨识，并针对性给予中医药保健指导；结合儿童健康查体和预防接种对辖区内67/60名0-36个月儿童的中医饮食调节和起居调摄指导等，0-36个月儿童中医药健康管理率92.31%。</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4.项目实施主体</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（1）主要职能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1.为城乡居民提供医疗、常见病多发病治疗与护理；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2.恢复期病人的康复治疗与护理；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3.预防保障，初级卫生保健规划实施；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4.卫生信息管理。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5.承担三个社区和四个行政村的城乡居民的十四项公共卫生管理服务工作任务。</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（2）机构设置情况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吉木萨尔县老台乡卫生院机构设置：无下属预算单位，内设4个科室，分别是：行政办、公卫科、门诊部、护理部。吉木萨尔县吉木萨尔镇卫生院人员总数18名，其中：在职17名，退休1名，离休0名。吉木萨尔县老台乡卫生院是一所能较好开展基本医疗服务和基本公共卫生服务的非营利性的公益医疗机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5.资金投入和使用情况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（1）项目资金安排落实、总投入等情况分析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预算安排总额为109.77万元，资金来源为中央专项资金（昌州财社[2022]46号关于提前下达2023年基本公共卫生服务中央财政补助资金预算的通知），其中：财政资金109.77万元，其他资金0.00万元，2023年实际收到预算资金109.77万元，预算资金到位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（2）项目资金实际使用情况分析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截至2023年12月31日，本项目实际支付资金109.77万元，预算执行率100%。本项目资金主要用于支付人员费用45.78万元、公用经费费用63.99万元。</w:t>
      </w:r>
    </w:p>
    <w:p w14:paraId="698384F6">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14:paraId="667458F4">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1.总体目标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提升基层医疗服务能力，补充县域医共体建设中基层医疗机构暂缺业务应用系统，完善县域卫生服务体系。建设重点专科，医共体信息化，专科联盟，远程医疗协作网，设备采购，技术引进等，不断满足患者不同层次的看病就医需求。免费向城乡居民提供基本公共卫生服务。开展对重点疾病及危害因素监测，有效控制疾病流行，为制定相关科学医学依据。截止2023年12月31日，0-36个月儿童中医药健康管理服务率达到92.31%，7岁以下儿童健康管理率达到97.34%，孕产妇系统管理率达到100%，基本公共卫生服务水平不断提高。</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2.阶段性目标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中华人民共和国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我单位的规章制度以及项目实施和财务相关资料，评价小组对项目绩效指标进行了进一步的完善，完善后绩效指标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（1）项目产出指标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①数量指标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“0-36个月儿童中医药健康管理服务率”指标，预期指标值为“≥70%”；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“7岁以下儿童健康管理率”指标，预期指标值为“≥90%”；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“孕产妇系统管理率”指标，预期指标值为“≥90%”；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②质量指标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“居民规范化电子健康档案覆盖率”指标，预期指标值为“≥61%”；</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“高血压患者基层规范管理服务率”指标，预期指标值为“≥60%”；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③时效指标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“资金拨付及时率”指标，预期指标值为“=100%”；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（2）项目成本指标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①经济成本指标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“基本公共卫生补助资金”指标，预期指标值为“≤109.77万元”；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②社会成本指标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无此该类指标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③生态环境成本指标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无此该类指标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①经济效益指标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无此该类指标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②社会效益指标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“基本公共卫生服务水平”指标，预期指标值为“不断提高”；</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“城乡居民公共卫生差距”指标，预期指标值为“不断缩小”；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③生态效益指标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无此该类指标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（4）项目满意度指标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①满意度指标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“受益对象满意度”指标，预期指标值为“≥90%”。</w:t>
      </w:r>
    </w:p>
    <w:p w14:paraId="0A47070C">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14:paraId="6CCFAA99">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14:paraId="2A1AE9B5">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1.绩效评价的目的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遵循财政部《项目支出绩效评价管理办法》（财预〔2020〕10号）和自治区财政厅《自治区财政支出绩效评价管理暂行办法》（新财预〔2018〕189号）等相关政策文件与规定，旨在评价财政项目实施前期、过程及效果，评价财政预算资金使用的效率及效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通过绩效评价，促进本单位总结经验、发现问题、改进工作，旨在评价本项目前期审批、实施过程及实施效果，促进预算管理不断完善，加快绩效目标的实现，保证财政资金有效、合理使用，具体绩效评价的目的细分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是通过部门项目支出绩效评价，进一步严格落实《中华人民共和国预算法》以及党中央、国务院关于加强预算绩效管理的指示精神，建立健全“花钱必问效、无效必问责”的绩效预算管理机制、提升财政资金的使用效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是通过部门项目支出绩效评价，进一步做实绩效目标，根据项目绩效目标设立情况，细化形成多维度绩效指标，将绩效指标细化为数量指标、质量指标、时效指标、经济成本指标、社会成本指标、社会生态环境成本指标、经济效益指标、社会效益指标、服务对象满意度指标等内容，保证项目绩效指标设置科学、规范、合理、可衡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2.绩效评价对象</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此次我单位根据《财政支出绩效评价管理暂行办法》（财预〔2020〕10号）文件要求实施评价工作，本次评价对象为昌州财社[2022]46号关于提前下达2023年基本公共卫生服务中央财政补助资金预算的通知项目，评价核心为项目资金、项目产出、项目效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3.绩效评价范围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4.绩效评价依据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（1）《中华人民共和国预算法》；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（2）《中共中央国务院关于全面实施预算绩效管理的意见》（中发〔2018〕34号）；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（3）《项目支出绩效评价管理办法》（财预〔2020〕10号）；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（4）《自治区财政支出绩效评价管理暂行办法》（新财预〔2018〕189号）；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（5）关于转发《关于印发自治区项目支出绩效目标设置指引的通知》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（6）关于转发自治区《关于进一步加强和规范第三方机构参与预算绩效管理的通知》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（7）《关于印发&lt;吉木萨尔县财政支出绩效评价管理暂行办法&gt;的通知》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（8）《关于印发&lt;吉木萨尔县预算绩效监控管理暂行办法&gt;的通知》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（9）《2022年度吉木萨尔县全面实施预算绩效管理工作方案》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（10）《关于成立吉木萨尔县预算绩效管理工作领导小组的通知》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（11）《关于加强和规范吉木萨尔县项目支出“全过程”预算绩效管理结果应用的通知》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（12）《昌州财社〔2022〕46号关于提前下达2023年中央财政基本公共卫生服务补助资金的预算通知》 </w:t>
      </w:r>
    </w:p>
    <w:p w14:paraId="19AA189A">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14:paraId="4661BEBF">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依据《中华人民共和国预算法》《中共 中央国务院关于全面实施预算绩效管理的意见》（中发〔2018〕34号）、《项目支出绩效评价管理办法》（财预〔2020〕10号）等要求，本次绩效评价秉承科学规范、公正公开、分级分类、绩效相关等原则，按照从投入、过程到产出效果和影响的绩效逻辑路径，通过绩效评价反思项目实施和管理中的问题，总结经验和教训，为提升财政资金使用效益，提供可行性参考建议。绩效评价应遵循如下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（1）科学公正。绩效评价应当运用科学合理的方法，按照规范的程序，对项目绩效进行客观、公正的反映。</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（3）激励约束。绩效评价结果应与预算安排、政策调整、改进管理实质性挂钩，体现奖优罚劣和激励相容导向，有效要安排、低效要压减、无效要问责。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（4）公开透明。绩效评价结果应依法依规公开，并自觉接受社会监督。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根据以上原则，绩效评价应遵循如下要求:</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（1）在数据采集时，采取客观数据，主管部门审查、社会中介组织复查，与问卷调查相结合的形式，以保证各项指标的真实性。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（2）保证评价结果的真实性、公正性，提高评价报告的公信力。</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2.绩效评价指标体系</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通过实施资料研读及前期调研，结合项目的实际开展情况，按照《项目支出绩效评价管理办法》（财预〔2020〕10号）文件要求，全面反映项目决策、项目和资金管理、产出和效益，优先选取最具代表性、最能直接反映产出和效益的核心指标，精简实用，绩效评价小组结合项目的实际情况，综合考虑相关性、重要性、可衡量性、可操作性和可实现性，按照逻辑分析法设计本次绩效评价指标体系，绩效评价指标的权重设计突出结果导向，设置指标体系结构如下：设置一级指标共4个，包括：决策指标（21.0%）、过程指标（19.0%）、产出指标（30.0%）、效益指标（30.0%）四类指标；二级和三级指标根据各项指标在评价体系中的重要程度确定，考虑项目实施和管理对项目绩效的影响等因素赋予相应的权重分值。绩效评价小组围绕项目总体绩效目标，将梳理后的年度绩效目标细化分解为个性化产出和效益指标，与共性指标共同构成该项目绩效评价指标体系详见“附件1：项目支出绩效评价绩效评价体系”。</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3.评价方法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正确的评价方法是评价工作顺利开展的保障，在结合实际经验的情况下，绩效评价小组根据该项目资金的性质和特点，选用比较法、因素分析法、公众评判法以及文献法对项目进行评价，旨在通过综合分析影响绩效目标实现、实施效果的内外部因素，从而评价本项目绩效。三级指标分析环节：总体采用比较法，同时辅以文献法、成本效益法、因素分析法以及公众评判法，根据不同三级指标类型进行逐项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①定量指标分析环节：主要采用比较法，对比三级指标预期指标值和三级指标截止评价日的完成情况，综合分析绩效目标实现程度。详细评价方法的应用如下：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般量化统计类等定量指标：通过对比实际完成值和预期指标值，达成预期指标值的，记该指标所赋全部分值；对完成值高于指标值较多的，要分析原因，如果是由于年初指标值设定明显偏低造成的，要按照偏离度适度调减分值；未完成指标值的，按照完成值与指标值的比值计算分值。</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属于“是”或“否”判断的单一评判定量指标：比较法，符合要求的得满分，不符合要求的不得分或者扣相应的分数。</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满意度指标：主要采用比较法，据满意度问卷统计情况计算完成比率与预期指标值对比，达成满意度预期目标的，得满分；未完成指标值的，按照完成值与预期指标值的比值计算得分；满意度小于60%不得分。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定性指标分析环节：主要采用公众评判法，通过问卷及抽样调查等方式评价本项目实施后社会公众对于其实施效果的满意程度，将调研结果按照《项目支出绩效评价管理办法》（财预〔2020〕10号）文件要求分为达成年度指标、部分达成年度指标并具有一定效果、未达成年度指标且效果较差三档，分别按照该指标对应分值区间100%-80%（含）、80%-60%（含）、60%-0%合理确定分值。</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14:paraId="22F00572">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14:paraId="342101F8">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1.前期准备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于2024年3月7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张香（评价小组组长）：主要负责项目策划和监督，全面负责项目绩效评价办稿的最终质量，对评估人员出具的最终报告质量进行复核，确保评估结果的客观性；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张彦荣（评价小组组员）：主要负责资料的收集，取证、数据统计分析；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范明月、马君、陈方美、印蕾（评价小组组员）：主要负责主要负责项目报告的制定，指标的研判，数据分析及报告撰写。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2.组织实施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2024年3月7日-3月15日，评价工作进入实施阶段。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在数据采集方面，评价小组项目负责人、财务人员进行访谈沟通，全面了解项目实施的目的、预算安排、实施内容、组织管理、实施结果等方面的内容；全面收集项目决策过程、资金使用管理、制度建设与执行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质量管理、项目建设及验收等相关资料，完成绩效评价内容所需的印证资料整理，所有数据经核查后统计汇总。</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经调研了解，该项目主要受益群体包括辖区内的1-7岁以下儿童，糖尿病患者、高血压患者、孕产妇等特殊人群。我们根据绩效评价目标和绩效指标体系，设计满意度调查问卷进行问卷调查，其中昌州财社【2022】46号关于提前下达2023年中央基本公共卫生服务补助资金项目受益对象共选取样本20人，共发放问卷20份，最终收回20份。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3.分析评价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2024年3月15日-3月31日，评价小组按照绩效评价的原则和规范，对取得的资料进行审查核实，对采集的数据进行分析，按照绩效评价指标评分表逐项进行打分、分析、汇总各方评价结果。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4.撰写与提交评价报告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2024年3月31日-4月15日，评价小组撰写绩效评价报告，按照新疆维吾尔自治区财政绩效管理信息系统绩效评价模块中统一格式和文本框架撰写绩效评价报告并提交审核。</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5.问题整改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6.档案整理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建立和落实档案管理制度，将项目相关资料存档，包括但不限于：评价项目基本情况和相关文件、评价实施方案、项目支付资料等相关档案。</w:t>
      </w:r>
    </w:p>
    <w:p w14:paraId="6315E0EC">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14:paraId="7A1AAF2B">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（一）综合评价情况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评价，本项目达成年初设立的绩效目标，在实施过程中取得了良好的成效，具体表现在：2023年1月1日至2023年12月31日，我单位0-36个月儿童中医药健康管理服务率达到92.31%，7岁以下儿童健康管理率达到97.34%，孕产妇系统管理率达到100%，基本公共卫生服务水平不断提高。。但在实施过程中也存在一些不足：例如资金支付不够及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（二）评价结论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此次绩效评价通过绩效评价小组论证的评价指标体系及评分标准，采用因素分析法和比较法对本项目绩效进行客观评价，本项目共设置三级指标数量21个，实现三级指标数量21个，总体完成率为100.0%。最终评分结果：总分为100.0分，绩效评级为“优”。综合评价结论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项目决策类指标共设置6个，满分指标6个，得分率100.0%；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过程管理类指标共设置5个，满分指标5个，得分率100.0%；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项目产出类指标共设置7个，满分指标7个，得分率100.0%；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项目效益类指标共设置3个，满分指标3个，得分率100.0%。</w:t>
      </w:r>
    </w:p>
    <w:p w14:paraId="5D82412E">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14:paraId="0D05CD26">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14:paraId="72CBE99D">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项目决策类指标由3个二级指标和6个三级指标构成，权重分21.0分，实际得分21.0分。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1.项目立项情况分析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（1）立项依据充分性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立项符合相关国家法律法规发展规划和相关政策；项目立项与吉木萨尔县老台乡卫生院单位“开展2023年中央基本公共卫生服务工作”这一部门职责范围相符，属于部门履职所需；根据《财政资金直接支付申请书》，本项目资金性质为“一般公共预算资金”，功能分类为“基本公共卫生服务”，经济分类为“商品服务支出”，根据《中华人民共和国预算法》属于公共财政支持范围，符合中央、地方事权支出责任划分原则；经检查财政项目指标大平台，本项目不存在重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综上所述，本指标满分为5.0分，根据评分标准得5.0分，本项目立项依据充分。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（2）立项程序规范性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吉木萨尔县老台乡卫生院昌州财社【2022】46号关于提前下达2023年中央基本公共卫生服务补助资金项目按照规定的程序申请设立，审批文件、材料符合相关要求，事前已经过必要的可行性研究、专家论证、风险评估、绩效评估、集体决策。</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综上所述，本指标满分为3.0分，根据评分标准得3.0分，本项目立项程序规范。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2.绩效目标情况分析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（1）绩效目标合理性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该项目已设置年度绩效目标，具体内容为“0-36个月儿童中医药健康管理服务率≥70%：7岁以下儿童健康管理率≥85%；孕产妇系统管理率≥90%；居民规范化电子健康档案覆盖率≥61%；高血压患者基层规范管理服务率≥61%。”</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该项目实际工作内容为：免费向城乡居民提供基本公共卫生服务。0-36个月儿童中医药健康管理服务率达到92.31%，7岁以下儿童健康管理率达到97.34%，孕产妇系统管理率达到100%。绩效目标与实际工作内容是否一致，两者是否具有相关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该项目按照绩效目标完成0-36个月儿童中医药健康管理服务率达到92.31%，7岁以下儿童健康管理率达到97.34%，孕产妇系统管理率达到100%，发挥了缩小城乡居民公共卫生差距，提升基本公共卫生服务水平的效益。预期产出效益和效果均符合正常的业绩水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④该项目批复的预算金额为109.77万元，《项目支出绩效目标表》中预算金额为109.77万元，预算确定的项目资金与预算确定的项目投资额相匹配。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综上所述，本指标满分为4.0分，根据评分标准得4.0分，本项目绩效目标设置合理。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（2）绩效指标明确性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检查我单位年初设置的《项目支出绩效目标表》，得出如下结论：本项目已将年度绩效目标进行细化为绩效指标体系，共设置一级指标4个，二级指标6个，三级指标14个，定量指标12个，定性指标2个，指标量化率为100.0%，量化率达70.0%以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绩效目标申报表》中，数量指标指标值为0-36个月儿童中医药健康管理服务率≥70%：7岁以下儿童健康管理率≥85%；孕产妇系统管理率≥90%，三级指标的年度指标值与年度绩效目标中任务数一致。已设置的绩效目标具备明确性、可衡量性、可实现性、相关性、时限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综上所述，本指标满分为3.0分，根据评分标准得3.0分，本项目所设置绩效指标明确。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3.资金投入情况分析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（1）预算编制科学性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本项目昌州财社【2022】46号关于提前下达2023年中央基本公共卫生服务补助资金项目，即预算编制较科学且经过论证；预算编制通过以往年度的实际执行情况，综合考虑本年度情况，综合编制预算。</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预算申请内容为免费向城乡居民提供基本公共卫生服务，项目实际内容为免费向城乡居民提供基本公共卫生服务，预算申请与《昌州财社【2022】46号关于提前下达2023年中央基本公共卫生服务补助资金项目实施方案》中涉及的项目内容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预算申请资金109.77万元，我单位在预算申请中严格按照项目实施内容及测算标准进行核算，其中：人员费用45.78万元、公用经费费用63.99万元。预算确定资金量与实际工作任务相匹配。本项目预算额度测算依据充分，严格按照标准编制，预算确定资金量与实际工作任务相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综上所述，本指标满分为4.0分，根据评分标准得4.0分，本项目预算编制科学。</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（2）资金分配合理性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①本项目实际分配资金以昌州财社[2022]46号文件为依据进行资金分配，预算资金分配依据充分。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②根据昌州财社[2022]46号文件显示，本项目实际到位资金109.77万元，实际分配资金与我单位提交申请的资金额度一致，资金分配额度合理，与我单位实际需求相适应。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综上所述，本指标满分为2.0分，根据评分标准得2.0分，本项目资金分配合理。</w:t>
      </w:r>
      <w:r>
        <w:rPr>
          <w:rStyle w:val="18"/>
          <w:rFonts w:hint="eastAsia" w:ascii="楷体" w:hAnsi="楷体" w:eastAsia="楷体"/>
          <w:b w:val="0"/>
          <w:bCs w:val="0"/>
          <w:spacing w:val="-4"/>
          <w:sz w:val="32"/>
          <w:szCs w:val="32"/>
        </w:rPr>
        <w:tab/>
      </w:r>
    </w:p>
    <w:p w14:paraId="1D662E0A">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14:paraId="6AC4CF76">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项目过程管理类指标由2个二级指标和5个三级指标构成，权重分19.0分，实际得分19.0分。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1.资金管理情况分析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（1）资金到位率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依据昌州财社[2022]46号，本项目预算资金为109.77万元，实际到位资金109.77万元，资金到位率100%。。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综上所述，本指标满分为3.0分，根据评分标准得3.0分，本项目预算执行率为100.0%。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（2）预算执行率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lang w:eastAsia="zh-CN"/>
        </w:rPr>
        <w:t>截至</w:t>
      </w:r>
      <w:r>
        <w:rPr>
          <w:rStyle w:val="18"/>
          <w:rFonts w:hint="eastAsia" w:ascii="楷体" w:hAnsi="楷体" w:eastAsia="楷体"/>
          <w:b w:val="0"/>
          <w:bCs w:val="0"/>
          <w:spacing w:val="-4"/>
          <w:sz w:val="32"/>
          <w:szCs w:val="32"/>
        </w:rPr>
        <w:t>2023年12月底，本项目实际支出资金109.77万元，预算执行率100.0%。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综上所述，本指标满分为5.0分，根据评分标准得5.0分，本项目资金分配合理。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（3）资金使用合规性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通过检查本项目签订的合同、资金申请文件、发票等财务付款凭证，得出本项目资金支出符合国家财经法规、《政府会计制度》《资金管理办法》，资金的拨付有完整的审批程序和手续，资金实际使用方向与预算批复用途一致，不存在截留、挤占、挪用、虚列支出的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综上所述，本指标满分为5.0分，根据评分标准得5.0分，资金支出符合我单位财务管理制度规定。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2.组织实施情况分析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（1）管理制度健全性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已制定《资金管理办法》、《收支业务管理制度》、《政府采购业务管理制度》、《合同管理制度》，上述已建立的制度均符合行政事业单位内控管理要求，财务和业务管理制度合法、合规、完整，本项目执行符合上述制度规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综上所述，本指标满分为2.0分，根据评分标准得2.0分，项目制度建设健全。</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（2）制度执行有效性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该项目的实施符合《资金管理办法》《固定资产管理制度》《政府采购业务管理制度》《合同管理制度》等相关法律法规及管理规定，项目具备完整规范的立项程序；经查证项目实施过程资料，项目采购、实施、验收等过程均按照采购管理办法和合同管理办法等相关制度执行，基本完成既定目标；经查证党委会议纪要、项目资金支付审批表、记账凭证等资金拨付流程资料，项目资金拨付流程完整、手续齐全。综上分析，项目执行遵守相关法律法规和相关管理规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②经现场查证项目合同书、验收评审表、财务支付凭证等资料齐全并及时归档。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③该项目实施过程中不存在调整事项。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该项目实施所需要的项目人员和场地设备均已落实到位，具体涉及内容包括：项目资金支出严格按照自治区、地区以及本单位资金管理办法执行，项目启动实施后，为了加快本项目的实施，成立了基本公共卫生项目项目工作领导小组，由张香任组长，负责项目的组织工作；张彦荣任副组长，负责项目的实施工作；组员包括：马君、印蕾和范明月，主要负责项目监督管理、验收以及资金核拨等工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综上所述，本指标满分为4.0分，根据评分标准得4.0分，本项目所建立制度执行有效。</w:t>
      </w:r>
    </w:p>
    <w:p w14:paraId="6A46EF16">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14:paraId="50C984D7">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项目产出类指标由4个二级指标和7个三级指标构成，权重分30.0分，实际得分30.0分。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1.数量指标完成情况分析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“0-36个月儿童中医药健康管理服务率”指标：预期指标值为“≥70%”，实际完成指标值为“92.31%”，指标完成率为100.0%。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“7岁以下儿童健康管理率”指标：预期指标值为“≥90%”，实际完成指标值为“97.34%”，指标完成率为100.0%。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“孕产妇系统管理率”指标：预期指标值为“≥90%”，实际完成指标值为“100%”，指标完成率为100.0%。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综上所述，本指标满分为9.0分，根据评分标准得9.0分。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2.质量指标完成情况分析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“居民规范化电子健康档案覆盖率0-36个月儿童中医药健康管理服务率”指标：预期指标值为“≥61%”，实际完成指标值为“69.46%”，指标完成率为100.0%。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“高血压患者基层规范管理服务率”指标：预期指标值为“≥60%”，实际完成指标值为“90.2%”，指标完成率为100.0%。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综上所述，本指标满分为6.0分，根据评分标准得6.0分。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3.时效指标完成情况分析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“资金拨付及时率”指标：预期指标值为“=100%”，实际完成指标值为“100%”，指标完成率为100.0%。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综上所述，本指标满分为5.0分，根据评分标准得5.0分。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4.经济成本指标完成情况分析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“基本公共卫生补助资金”指标：预期指标值为“&lt;=109.77万元”，实际完成指标值为“109.77万元”，指标完成率为100%。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综上所述，本指标满分为10.0分，根据评分标准得10.0分。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5.社会成本指标完成情况分析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本项目无该指标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6.生态环境成本指标完成情况分析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本项目无该指标</w:t>
      </w:r>
    </w:p>
    <w:p w14:paraId="22BC413B">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14:paraId="0CF82EAA">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项目效益类指标由2个二级指标和3个三级指标构成，权重分30.0分，实际得分30分。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1.经济效益完成情况分析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本项目无该指标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2.社会效益完成情况分析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“城乡居民公共卫生差距”指标：预期指标值为“不断缩小”，实际完成指标值为“基本达成目标”，指标完成率为100.0%。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“基本公共卫生服务水平”指标：预期指标值为“不断提高”，实际完成指标值为“基本达成目标”，指标完成率为100.0%。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综上所述，本指标满分20.0分，根据评分标准得20.0分。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3.生态效益完成情况分析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本项目无该指标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4.满意度完成情况分析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“受益对象满意度”指标：预期指标值为“&gt;=90%”，实际完成指标值为“98%”，指标完成率为100%。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综上所述，本指标满分为10.0分，根据评分标准得10.0分。</w:t>
      </w:r>
    </w:p>
    <w:p w14:paraId="68A42322">
      <w:pPr>
        <w:spacing w:line="540" w:lineRule="exact"/>
        <w:ind w:firstLine="567"/>
        <w:rPr>
          <w:rStyle w:val="18"/>
          <w:rFonts w:ascii="楷体" w:hAnsi="楷体" w:eastAsia="楷体"/>
          <w:spacing w:val="-4"/>
          <w:sz w:val="32"/>
          <w:szCs w:val="32"/>
        </w:rPr>
      </w:pPr>
    </w:p>
    <w:p w14:paraId="5851B279">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lang w:val="en-US" w:eastAsia="zh-CN"/>
        </w:rPr>
        <w:t>预算执行进度与绩效指标偏差</w:t>
      </w:r>
    </w:p>
    <w:p w14:paraId="402B54F2">
      <w:pPr>
        <w:spacing w:line="540" w:lineRule="exact"/>
        <w:ind w:firstLine="567"/>
        <w:rPr>
          <w:rStyle w:val="18"/>
          <w:rFonts w:hint="default" w:ascii="黑体" w:hAnsi="黑体" w:eastAsia="黑体"/>
          <w:b w:val="0"/>
          <w:spacing w:val="-4"/>
          <w:sz w:val="32"/>
          <w:szCs w:val="32"/>
          <w:lang w:val="en-US" w:eastAsia="zh-CN"/>
        </w:rPr>
      </w:pPr>
      <w:r>
        <w:rPr>
          <w:rStyle w:val="18"/>
          <w:rFonts w:hint="eastAsia" w:ascii="楷体" w:hAnsi="楷体" w:eastAsia="楷体"/>
          <w:b w:val="0"/>
          <w:bCs w:val="0"/>
          <w:spacing w:val="-4"/>
          <w:sz w:val="32"/>
          <w:szCs w:val="32"/>
        </w:rPr>
        <w:t>本项目年初预算资金总额为109.77万元，全年预算数为109.77万元，全年执行数为109.77万元，预算执行率为100.0%。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本项目共设置三级指标数量21个，满分指标数量21个，扣分指标数量0个，经分析计算所有三级指标完成率得出，本项目总体完成率为100.0%。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综上所述本项目预算执行进度与总体完成进度之间的偏差为0%。</w:t>
      </w:r>
    </w:p>
    <w:p w14:paraId="7A46254C">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主要经验及做法、存在的问题及原因分析</w:t>
      </w:r>
    </w:p>
    <w:p w14:paraId="5755CC70">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为确保项目顺利进行，提前做好项目规划，将所列计划再三审核。在项目实施过程中做好定期监督检查，严格按照项目管理规范进行，在项目资金使用过程中，严格落实把关，按照项目资金使用范围做好审核工作，让项目资金落于实处。在项目完成后，做好受益群众民意调查及项目防范工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严格坚持先做事、后验收、再拨付的原则，基本杜绝了资金被挤占和挪用现象的发生，跟踪检查到位。财政、纪检、监察等职能部门全面参与专项资金事前、事中和事后全过程的监管。在监督环节上，实行关口前移，从事后监督管理转向事前审核，事中监督和事后检查稽核相结合的监督制度上来，形成多环节全过程的监督管理格局，尽量早发现问题，早解决问题。</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（二）存在的问题及原因分析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本项目2023年度无存在的问题。</w:t>
      </w:r>
    </w:p>
    <w:p w14:paraId="1B423F95">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、有关建议</w:t>
      </w:r>
    </w:p>
    <w:p w14:paraId="22372D9D">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进一步加强对绩效管理工作的组织领导，提高对预算绩效管理工作重要性的认识，总结经验查找问题，抓紧研究制定更全面更完善的绩效评价管理办法。新一年度执行本项目时，按照计划执行，争取将拨付的资金全部支付完，工作落实完。</w:t>
      </w:r>
    </w:p>
    <w:p w14:paraId="156B5530">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八</w:t>
      </w:r>
      <w:r>
        <w:rPr>
          <w:rStyle w:val="18"/>
          <w:rFonts w:hint="eastAsia" w:ascii="黑体" w:hAnsi="黑体" w:eastAsia="黑体"/>
          <w:b w:val="0"/>
          <w:spacing w:val="-4"/>
          <w:sz w:val="32"/>
          <w:szCs w:val="32"/>
        </w:rPr>
        <w:t>、其他需要说明的问题</w:t>
      </w:r>
    </w:p>
    <w:p w14:paraId="08B6FDAC">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（一）本项目部分间接产生的效果无法准确在短期内衡量，因此很难认定项目产生的全部效果。通过指标来反映绩效，指标的科学性和全面性需要不断地完善和研究。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（二）评价结果作为安排政府预算、完善政策和改进管理的重要依据。原则上，对评价等级为优、良的，根据情况予以支持；对评价等级为中、差的，要完善政策、改进管理，根据情况核减预算。</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（三）评价结果分别编入政府决算和部门预算，报送本级人民代表大会常务委员会，并依法予以公开。</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（四）我单位对上述项目支出绩效评价报告内反映内容的真实性、完整性负责，接受上级部门及社会公众监督。</w:t>
      </w:r>
    </w:p>
    <w:p w14:paraId="2519A495">
      <w:pPr>
        <w:spacing w:line="540" w:lineRule="exact"/>
        <w:ind w:firstLine="567"/>
        <w:rPr>
          <w:rStyle w:val="18"/>
          <w:rFonts w:ascii="仿宋" w:hAnsi="仿宋" w:eastAsia="仿宋"/>
          <w:b w:val="0"/>
          <w:spacing w:val="-4"/>
          <w:sz w:val="32"/>
          <w:szCs w:val="32"/>
        </w:rPr>
      </w:pPr>
    </w:p>
    <w:p w14:paraId="724F8B0D">
      <w:pPr>
        <w:spacing w:line="540" w:lineRule="exact"/>
        <w:ind w:firstLine="567"/>
        <w:rPr>
          <w:rStyle w:val="18"/>
          <w:rFonts w:ascii="仿宋" w:hAnsi="仿宋" w:eastAsia="仿宋"/>
          <w:b w:val="0"/>
          <w:spacing w:val="-4"/>
          <w:sz w:val="32"/>
          <w:szCs w:val="32"/>
        </w:rPr>
      </w:pPr>
    </w:p>
    <w:p w14:paraId="14518E1B">
      <w:pPr>
        <w:spacing w:line="540" w:lineRule="exact"/>
        <w:ind w:firstLine="567"/>
        <w:rPr>
          <w:rStyle w:val="18"/>
          <w:rFonts w:ascii="仿宋" w:hAnsi="仿宋" w:eastAsia="仿宋"/>
          <w:b w:val="0"/>
          <w:spacing w:val="-4"/>
          <w:sz w:val="32"/>
          <w:szCs w:val="32"/>
        </w:rPr>
      </w:pPr>
    </w:p>
    <w:p w14:paraId="1546B213">
      <w:pPr>
        <w:spacing w:line="540" w:lineRule="exact"/>
        <w:ind w:firstLine="567"/>
        <w:rPr>
          <w:rStyle w:val="18"/>
          <w:rFonts w:ascii="仿宋" w:hAnsi="仿宋" w:eastAsia="仿宋"/>
          <w:b w:val="0"/>
          <w:spacing w:val="-4"/>
          <w:sz w:val="32"/>
          <w:szCs w:val="32"/>
        </w:rPr>
      </w:pPr>
    </w:p>
    <w:p w14:paraId="157DEBFF">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1BB0952D-CEF4-4C6F-9A71-D6E6A552BD76}"/>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2" w:fontKey="{EA4F593E-0132-4B98-92F8-C2428824B095}"/>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embedRegular r:id="rId3" w:fontKey="{11A3397A-ED21-4E71-A3DD-6E45579C38DC}"/>
  </w:font>
  <w:font w:name="华文中宋">
    <w:panose1 w:val="02010600040101010101"/>
    <w:charset w:val="86"/>
    <w:family w:val="auto"/>
    <w:pitch w:val="default"/>
    <w:sig w:usb0="00000287" w:usb1="080F0000" w:usb2="00000000" w:usb3="00000000" w:csb0="0004009F" w:csb1="DFD70000"/>
    <w:embedRegular r:id="rId4" w:fontKey="{818834C4-2E71-4BA4-9C0F-C3130BD061E7}"/>
  </w:font>
  <w:font w:name="方正小标宋_GBK">
    <w:panose1 w:val="02000000000000000000"/>
    <w:charset w:val="86"/>
    <w:family w:val="script"/>
    <w:pitch w:val="default"/>
    <w:sig w:usb0="A00002BF" w:usb1="38CF7CFA" w:usb2="00082016" w:usb3="00000000" w:csb0="00040001" w:csb1="00000000"/>
    <w:embedRegular r:id="rId5" w:fontKey="{9DBE5546-E86A-49B9-A48D-542AD91BA4A3}"/>
  </w:font>
  <w:font w:name="仿宋_GB2312">
    <w:panose1 w:val="02010609030101010101"/>
    <w:charset w:val="86"/>
    <w:family w:val="modern"/>
    <w:pitch w:val="default"/>
    <w:sig w:usb0="00000001" w:usb1="080E0000" w:usb2="00000000" w:usb3="00000000" w:csb0="00040000" w:csb1="00000000"/>
    <w:embedRegular r:id="rId6" w:fontKey="{94A280D3-0225-4F08-9A8A-126EF956D215}"/>
  </w:font>
  <w:font w:name="楷体">
    <w:panose1 w:val="02010609060101010101"/>
    <w:charset w:val="86"/>
    <w:family w:val="modern"/>
    <w:pitch w:val="default"/>
    <w:sig w:usb0="800002BF" w:usb1="38CF7CFA" w:usb2="00000016" w:usb3="00000000" w:csb0="00040001" w:csb1="00000000"/>
    <w:embedRegular r:id="rId7" w:fontKey="{C9748168-1287-48EF-8CAE-C384F60F656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66A76A40">
        <w:pPr>
          <w:pStyle w:val="12"/>
          <w:jc w:val="center"/>
        </w:pPr>
        <w:r>
          <w:fldChar w:fldCharType="begin"/>
        </w:r>
        <w:r>
          <w:instrText xml:space="preserve">PAGE   \* MERGEFORMAT</w:instrText>
        </w:r>
        <w:r>
          <w:fldChar w:fldCharType="separate"/>
        </w:r>
        <w:r>
          <w:rPr>
            <w:lang w:val="zh-CN"/>
          </w:rPr>
          <w:t>2</w:t>
        </w:r>
        <w:r>
          <w:fldChar w:fldCharType="end"/>
        </w:r>
      </w:p>
    </w:sdtContent>
  </w:sdt>
  <w:p w14:paraId="42A51C3A">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11BD75F7"/>
    <w:rsid w:val="13BE561A"/>
    <w:rsid w:val="15392994"/>
    <w:rsid w:val="18FE139B"/>
    <w:rsid w:val="3029612C"/>
    <w:rsid w:val="32A221C5"/>
    <w:rsid w:val="33F20F2A"/>
    <w:rsid w:val="34C44675"/>
    <w:rsid w:val="38BA2CA2"/>
    <w:rsid w:val="3B5B5607"/>
    <w:rsid w:val="3CE21B3C"/>
    <w:rsid w:val="4D2606A1"/>
    <w:rsid w:val="51830480"/>
    <w:rsid w:val="53A616BE"/>
    <w:rsid w:val="54662BFB"/>
    <w:rsid w:val="62051CA5"/>
    <w:rsid w:val="6C3A69EF"/>
    <w:rsid w:val="78964B1E"/>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uiPriority w:val="99"/>
    <w:rPr>
      <w:sz w:val="18"/>
      <w:szCs w:val="18"/>
    </w:rPr>
  </w:style>
  <w:style w:type="paragraph" w:styleId="12">
    <w:name w:val="footer"/>
    <w:basedOn w:val="1"/>
    <w:link w:val="44"/>
    <w:unhideWhenUsed/>
    <w:uiPriority w:val="99"/>
    <w:pPr>
      <w:tabs>
        <w:tab w:val="center" w:pos="4153"/>
        <w:tab w:val="right" w:pos="8306"/>
      </w:tabs>
      <w:snapToGrid w:val="0"/>
      <w:jc w:val="left"/>
    </w:pPr>
    <w:rPr>
      <w:rFonts w:ascii="Calibri" w:hAnsi="Calibri"/>
      <w:sz w:val="18"/>
      <w:szCs w:val="18"/>
    </w:rPr>
  </w:style>
  <w:style w:type="paragraph" w:styleId="13">
    <w:name w:val="header"/>
    <w:basedOn w:val="1"/>
    <w:link w:val="43"/>
    <w:autoRedefine/>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uiPriority w:val="10"/>
    <w:rPr>
      <w:rFonts w:asciiTheme="majorHAnsi" w:hAnsiTheme="majorHAnsi" w:eastAsiaTheme="majorEastAsia"/>
      <w:b/>
      <w:bCs/>
      <w:kern w:val="28"/>
      <w:sz w:val="32"/>
      <w:szCs w:val="32"/>
    </w:rPr>
  </w:style>
  <w:style w:type="character" w:customStyle="1" w:styleId="30">
    <w:name w:val="副标题 Char"/>
    <w:basedOn w:val="17"/>
    <w:link w:val="14"/>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uiPriority w:val="99"/>
    <w:rPr>
      <w:rFonts w:ascii="Calibri" w:hAnsi="Calibri" w:eastAsia="宋体"/>
      <w:kern w:val="2"/>
      <w:sz w:val="18"/>
      <w:szCs w:val="18"/>
    </w:rPr>
  </w:style>
  <w:style w:type="character" w:customStyle="1" w:styleId="44">
    <w:name w:val="页脚 Char"/>
    <w:basedOn w:val="17"/>
    <w:link w:val="12"/>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32</Pages>
  <Words>6026</Words>
  <Characters>6401</Characters>
  <Lines>4</Lines>
  <Paragraphs>1</Paragraphs>
  <TotalTime>2</TotalTime>
  <ScaleCrop>false</ScaleCrop>
  <LinksUpToDate>false</LinksUpToDate>
  <CharactersWithSpaces>6418</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来财&amp;十个晴天</cp:lastModifiedBy>
  <cp:lastPrinted>2018-12-31T10:56:00Z</cp:lastPrinted>
  <dcterms:modified xsi:type="dcterms:W3CDTF">2025-10-16T04:25:28Z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C734C92AAAF24344A0E4232D8EB3359B</vt:lpwstr>
  </property>
  <property fmtid="{D5CDD505-2E9C-101B-9397-08002B2CF9AE}" pid="4" name="KSOTemplateDocerSaveRecord">
    <vt:lpwstr>eyJoZGlkIjoiMGIxZTI3ODM4ZmVjOGE5NDFiYmE3OTRiMjQ5OTEyNzIiLCJ1c2VySWQiOiIzNzI2MDMzNTYifQ==</vt:lpwstr>
  </property>
</Properties>
</file>